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7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01"/>
        <w:gridCol w:w="2532"/>
        <w:gridCol w:w="2446"/>
        <w:tblGridChange w:id="0">
          <w:tblGrid>
            <w:gridCol w:w="3801"/>
            <w:gridCol w:w="2532"/>
            <w:gridCol w:w="2446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i w:val="1"/>
                <w:sz w:val="32"/>
                <w:szCs w:val="32"/>
                <w:rtl w:val="0"/>
              </w:rPr>
              <w:t xml:space="preserve">МЕНЮ на 2 апреля 2025 года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i w:val="1"/>
                <w:sz w:val="32"/>
                <w:szCs w:val="32"/>
                <w:rtl w:val="0"/>
              </w:rPr>
              <w:t xml:space="preserve">Наименование блюда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i w:val="1"/>
                <w:sz w:val="32"/>
                <w:szCs w:val="32"/>
                <w:rtl w:val="0"/>
              </w:rPr>
              <w:t xml:space="preserve">Масса порций(гр)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Старше 3-х лет/до 3-х лет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i w:val="1"/>
                <w:sz w:val="32"/>
                <w:szCs w:val="32"/>
                <w:rtl w:val="0"/>
              </w:rPr>
              <w:t xml:space="preserve">Ккал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Старше 3-х лет/до 3-х лет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i w:val="1"/>
                <w:sz w:val="32"/>
                <w:szCs w:val="32"/>
                <w:rtl w:val="0"/>
              </w:rPr>
              <w:t xml:space="preserve">ЗАВТРАК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Каша «Дружба» на молоке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200/180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207,6/167,5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Какао с молоком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200/180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91,28/70,52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Хлеб пшеничный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50/40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113,5/90,8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i w:val="1"/>
                <w:sz w:val="32"/>
                <w:szCs w:val="32"/>
                <w:rtl w:val="0"/>
              </w:rPr>
              <w:t xml:space="preserve">ЗАВТРАК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Сок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100/78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46,5/36,8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i w:val="1"/>
                <w:sz w:val="32"/>
                <w:szCs w:val="32"/>
                <w:rtl w:val="0"/>
              </w:rPr>
              <w:t xml:space="preserve">ОБЕД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7575"/>
              </w:tabs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Суп «Бабушкин» с мясом кур</w:t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7575"/>
              </w:tabs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200/180</w:t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7575"/>
              </w:tabs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151,4/124,2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Котлета рыбная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70/65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102,78/93,79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Овощи тушёные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160/140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132,8/66,4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Компот из сухофруктов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200/180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68,9/57,1</w:t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Хлеб ржаной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i w:val="1"/>
                <w:sz w:val="32"/>
                <w:szCs w:val="32"/>
              </w:rPr>
            </w:pPr>
            <w:bookmarkStart w:colFirst="0" w:colLast="0" w:name="_1d9na5kw5tld" w:id="0"/>
            <w:bookmarkEnd w:id="0"/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40/30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85,6/64,2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i w:val="1"/>
                <w:sz w:val="32"/>
                <w:szCs w:val="32"/>
                <w:rtl w:val="0"/>
              </w:rPr>
              <w:t xml:space="preserve">УПЛОТНЁННЫЙ ПОЛДНИК</w:t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Сочник с творогом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80/70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326,62/284,84</w:t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Чай с сахаром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200/180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18,7/14,96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Стоимость услуги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150 руб./130 руб.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Всего за день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1345,68/1063,71</w:t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